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20634">
        <w:rPr>
          <w:b/>
          <w:noProof/>
          <w:sz w:val="24"/>
        </w:rPr>
        <w:fldChar w:fldCharType="begin"/>
      </w:r>
      <w:r w:rsidR="00520634">
        <w:rPr>
          <w:b/>
          <w:noProof/>
          <w:sz w:val="24"/>
        </w:rPr>
        <w:instrText xml:space="preserve"> DOCPROPERTY  TSG/WGRef  \* MERGEFORMAT </w:instrText>
      </w:r>
      <w:r w:rsidR="00520634">
        <w:rPr>
          <w:b/>
          <w:noProof/>
          <w:sz w:val="24"/>
        </w:rPr>
        <w:fldChar w:fldCharType="separate"/>
      </w:r>
      <w:r w:rsidR="003609EF">
        <w:rPr>
          <w:b/>
          <w:noProof/>
          <w:sz w:val="24"/>
        </w:rPr>
        <w:t>SA2</w:t>
      </w:r>
      <w:r w:rsidR="00520634">
        <w:rPr>
          <w:b/>
          <w:noProof/>
          <w:sz w:val="24"/>
        </w:rPr>
        <w:fldChar w:fldCharType="end"/>
      </w:r>
      <w:r w:rsidR="00C66BA2">
        <w:rPr>
          <w:b/>
          <w:noProof/>
          <w:sz w:val="24"/>
        </w:rPr>
        <w:t xml:space="preserve"> </w:t>
      </w:r>
      <w:r>
        <w:rPr>
          <w:b/>
          <w:noProof/>
          <w:sz w:val="24"/>
        </w:rPr>
        <w:t>Meeting #</w:t>
      </w:r>
      <w:r w:rsidR="00520634">
        <w:rPr>
          <w:b/>
          <w:noProof/>
          <w:sz w:val="24"/>
        </w:rPr>
        <w:fldChar w:fldCharType="begin"/>
      </w:r>
      <w:r w:rsidR="00520634">
        <w:rPr>
          <w:b/>
          <w:noProof/>
          <w:sz w:val="24"/>
        </w:rPr>
        <w:instrText xml:space="preserve"> DOCPROPERTY  MtgSeq  \* MERGEFORMAT </w:instrText>
      </w:r>
      <w:r w:rsidR="00520634">
        <w:rPr>
          <w:b/>
          <w:noProof/>
          <w:sz w:val="24"/>
        </w:rPr>
        <w:fldChar w:fldCharType="separate"/>
      </w:r>
      <w:r w:rsidR="00EB09B7" w:rsidRPr="00EB09B7">
        <w:rPr>
          <w:b/>
          <w:noProof/>
          <w:sz w:val="24"/>
        </w:rPr>
        <w:t>134</w:t>
      </w:r>
      <w:r w:rsidR="00520634">
        <w:rPr>
          <w:b/>
          <w:noProof/>
          <w:sz w:val="24"/>
        </w:rPr>
        <w:fldChar w:fldCharType="end"/>
      </w:r>
      <w:r w:rsidR="007803BA">
        <w:fldChar w:fldCharType="begin"/>
      </w:r>
      <w:r w:rsidR="007803BA">
        <w:instrText xml:space="preserve"> DOCPROPERTY  MtgTitle  \* MERGEFORMAT </w:instrText>
      </w:r>
      <w:r w:rsidR="007803BA">
        <w:fldChar w:fldCharType="end"/>
      </w:r>
      <w:r>
        <w:rPr>
          <w:b/>
          <w:i/>
          <w:noProof/>
          <w:sz w:val="28"/>
        </w:rPr>
        <w:tab/>
      </w:r>
      <w:r w:rsidR="00520634">
        <w:rPr>
          <w:b/>
          <w:i/>
          <w:noProof/>
          <w:sz w:val="28"/>
        </w:rPr>
        <w:fldChar w:fldCharType="begin"/>
      </w:r>
      <w:r w:rsidR="00520634">
        <w:rPr>
          <w:b/>
          <w:i/>
          <w:noProof/>
          <w:sz w:val="28"/>
        </w:rPr>
        <w:instrText xml:space="preserve"> DOCPROPERTY  Tdoc#  \* MERGEFORMAT </w:instrText>
      </w:r>
      <w:r w:rsidR="00520634">
        <w:rPr>
          <w:b/>
          <w:i/>
          <w:noProof/>
          <w:sz w:val="28"/>
        </w:rPr>
        <w:fldChar w:fldCharType="separate"/>
      </w:r>
      <w:r w:rsidR="00E13F3D" w:rsidRPr="00E13F3D">
        <w:rPr>
          <w:b/>
          <w:i/>
          <w:noProof/>
          <w:sz w:val="28"/>
        </w:rPr>
        <w:t>S2-1906882</w:t>
      </w:r>
      <w:r w:rsidR="00520634">
        <w:rPr>
          <w:b/>
          <w:i/>
          <w:noProof/>
          <w:sz w:val="28"/>
        </w:rPr>
        <w:fldChar w:fldCharType="end"/>
      </w:r>
    </w:p>
    <w:p w:rsidR="001E41F3" w:rsidRDefault="005206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6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06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6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0FA" w:rsidP="00A670FA">
            <w:pPr>
              <w:pStyle w:val="CRCoverPage"/>
              <w:spacing w:after="0"/>
              <w:jc w:val="center"/>
              <w:rPr>
                <w:noProof/>
                <w:sz w:val="28"/>
              </w:rPr>
            </w:pPr>
            <w:fldSimple w:instr=" DOCPROPERTY  Version  \* MERGEFORMAT ">
              <w:r w:rsidRPr="00F17EEB">
                <w:rPr>
                  <w:b/>
                  <w:noProof/>
                  <w:sz w:val="28"/>
                </w:rPr>
                <w:t>16.1.1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0C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0634">
            <w:pPr>
              <w:pStyle w:val="CRCoverPage"/>
              <w:spacing w:after="0"/>
              <w:ind w:left="100"/>
              <w:rPr>
                <w:noProof/>
              </w:rPr>
            </w:pPr>
            <w:fldSimple w:instr=" DOCPROPERTY  CrTitle  \* MERGEFORMAT ">
              <w:r w:rsidR="002640DD">
                <w:t>Removal of Level of aggregation from Event Reporting Information Parameters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634">
            <w:pPr>
              <w:pStyle w:val="CRCoverPage"/>
              <w:spacing w:after="0"/>
              <w:ind w:left="100"/>
              <w:rPr>
                <w:noProof/>
              </w:rPr>
            </w:pPr>
            <w:r w:rsidRPr="00F17EEB">
              <w:rPr>
                <w:noProof/>
              </w:rPr>
              <w:fldChar w:fldCharType="begin"/>
            </w:r>
            <w:r w:rsidRPr="00F17EEB">
              <w:rPr>
                <w:noProof/>
              </w:rPr>
              <w:instrText xml:space="preserve"> DOCPROPERTY  SourceIfWg  \* MERGEFORMAT </w:instrText>
            </w:r>
            <w:r w:rsidRPr="00F17EEB">
              <w:rPr>
                <w:noProof/>
              </w:rPr>
              <w:fldChar w:fldCharType="separate"/>
            </w:r>
            <w:r w:rsidR="00E13F3D" w:rsidRPr="00F17EEB">
              <w:rPr>
                <w:noProof/>
              </w:rPr>
              <w:t>ORANGE</w:t>
            </w:r>
            <w:r w:rsidRPr="00F17EEB">
              <w:rPr>
                <w:noProof/>
              </w:rPr>
              <w:fldChar w:fldCharType="end"/>
            </w:r>
            <w:r w:rsidR="004477FB" w:rsidRPr="00F17EEB">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0C37" w:rsidP="00547111">
            <w:pPr>
              <w:pStyle w:val="CRCoverPage"/>
              <w:spacing w:after="0"/>
              <w:ind w:left="100"/>
              <w:rPr>
                <w:noProof/>
              </w:rPr>
            </w:pPr>
            <w:r>
              <w:t>S2</w:t>
            </w:r>
            <w:r w:rsidR="007803BA">
              <w:fldChar w:fldCharType="begin"/>
            </w:r>
            <w:r w:rsidR="007803BA">
              <w:instrText xml:space="preserve"> DOCPROPERTY  SourceIfTsg  \* MERGEFORMAT </w:instrText>
            </w:r>
            <w:r w:rsidR="007803B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6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6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6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6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41D7">
            <w:pPr>
              <w:pStyle w:val="CRCoverPage"/>
              <w:spacing w:after="0"/>
              <w:ind w:left="100"/>
              <w:rPr>
                <w:noProof/>
              </w:rPr>
            </w:pPr>
            <w:r>
              <w:rPr>
                <w:noProof/>
              </w:rPr>
              <w:t>"</w:t>
            </w:r>
            <w:r w:rsidRPr="006341D7">
              <w:rPr>
                <w:noProof/>
              </w:rPr>
              <w:t>Level of aggregation</w:t>
            </w:r>
            <w:r>
              <w:rPr>
                <w:noProof/>
              </w:rPr>
              <w:t xml:space="preserve">" was introduced as an </w:t>
            </w:r>
            <w:r w:rsidRPr="006341D7">
              <w:rPr>
                <w:noProof/>
              </w:rPr>
              <w:t>Event Reporting Information Parameters</w:t>
            </w:r>
            <w:r>
              <w:rPr>
                <w:noProof/>
              </w:rPr>
              <w:t xml:space="preserve"> for </w:t>
            </w:r>
            <w:r w:rsidRPr="006341D7">
              <w:rPr>
                <w:noProof/>
              </w:rPr>
              <w:t>network data analytics</w:t>
            </w:r>
            <w:r>
              <w:rPr>
                <w:noProof/>
              </w:rPr>
              <w:t xml:space="preserve"> by CR#1013, </w:t>
            </w:r>
            <w:r w:rsidR="008E0C37">
              <w:rPr>
                <w:noProof/>
              </w:rPr>
              <w:t>but the applicability of this parameter has not been specified in TS 23.288.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705C">
            <w:pPr>
              <w:pStyle w:val="CRCoverPage"/>
              <w:spacing w:after="0"/>
              <w:ind w:left="100"/>
              <w:rPr>
                <w:noProof/>
              </w:rPr>
            </w:pPr>
            <w:r>
              <w:rPr>
                <w:noProof/>
              </w:rPr>
              <w:t xml:space="preserve">Removal of </w:t>
            </w:r>
            <w:r w:rsidRPr="00FF705C">
              <w:rPr>
                <w:noProof/>
              </w:rPr>
              <w:t>"Level of aggregation</w:t>
            </w:r>
            <w:r>
              <w:rPr>
                <w:noProof/>
              </w:rPr>
              <w:t>" row in Table 4.15.1-1 and related paragraph in clause 4.15.1.</w:t>
            </w:r>
          </w:p>
          <w:p w:rsidR="005D2945" w:rsidRDefault="005D2945">
            <w:pPr>
              <w:pStyle w:val="CRCoverPage"/>
              <w:spacing w:after="0"/>
              <w:ind w:left="100"/>
              <w:rPr>
                <w:noProof/>
              </w:rPr>
            </w:pPr>
            <w:r>
              <w:rPr>
                <w:noProof/>
              </w:rPr>
              <w:t>Removal of useless row numbering in Table 4.15.1-1.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6C66">
            <w:pPr>
              <w:pStyle w:val="CRCoverPage"/>
              <w:spacing w:after="0"/>
              <w:ind w:left="100"/>
              <w:rPr>
                <w:noProof/>
              </w:rPr>
            </w:pPr>
            <w:r>
              <w:rPr>
                <w:noProof/>
              </w:rPr>
              <w:t>The protocol would contain a parameter that is not used in this Release.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705C">
            <w:pPr>
              <w:pStyle w:val="CRCoverPage"/>
              <w:spacing w:after="0"/>
              <w:ind w:left="100"/>
              <w:rPr>
                <w:noProof/>
              </w:rPr>
            </w:pPr>
            <w:r>
              <w:rPr>
                <w:noProof/>
              </w:rPr>
              <w:t>4.15.1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55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55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55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76D42" w:rsidRPr="00AF53BC" w:rsidRDefault="00C76D42" w:rsidP="00C76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sz w:val="28"/>
          <w:szCs w:val="28"/>
          <w:lang w:val="en-US" w:eastAsia="zh-CN"/>
        </w:rPr>
        <w:t>Start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bookmarkStart w:id="2" w:name="_Toc517082226"/>
    </w:p>
    <w:p w:rsidR="006341D7" w:rsidRPr="00050CA8" w:rsidRDefault="006341D7" w:rsidP="006341D7">
      <w:pPr>
        <w:pStyle w:val="Titre2"/>
        <w:rPr>
          <w:rFonts w:eastAsia="SimSun"/>
        </w:rPr>
      </w:pPr>
      <w:bookmarkStart w:id="3" w:name="_Toc11141305"/>
      <w:bookmarkEnd w:id="2"/>
      <w:r w:rsidRPr="00050CA8">
        <w:rPr>
          <w:rFonts w:eastAsia="SimSun"/>
        </w:rPr>
        <w:t>4.15</w:t>
      </w:r>
      <w:r w:rsidRPr="00050CA8">
        <w:rPr>
          <w:rFonts w:eastAsia="SimSun"/>
        </w:rPr>
        <w:tab/>
        <w:t>Network Exposure</w:t>
      </w:r>
      <w:bookmarkEnd w:id="3"/>
    </w:p>
    <w:p w:rsidR="006341D7" w:rsidRDefault="006341D7" w:rsidP="006341D7">
      <w:pPr>
        <w:pStyle w:val="Titre3"/>
        <w:rPr>
          <w:rFonts w:eastAsia="SimSun"/>
        </w:rPr>
      </w:pPr>
      <w:bookmarkStart w:id="4" w:name="_Toc11141306"/>
      <w:r w:rsidRPr="00050CA8">
        <w:rPr>
          <w:rFonts w:eastAsia="SimSun"/>
        </w:rPr>
        <w:t>4.15.1</w:t>
      </w:r>
      <w:r w:rsidRPr="00050CA8">
        <w:rPr>
          <w:rFonts w:eastAsia="SimSun"/>
        </w:rPr>
        <w:tab/>
        <w:t>General</w:t>
      </w:r>
      <w:bookmarkEnd w:id="4"/>
    </w:p>
    <w:p w:rsidR="006341D7" w:rsidRPr="000808F1" w:rsidRDefault="006341D7" w:rsidP="006341D7">
      <w:r w:rsidRPr="000808F1">
        <w:t>The network capability exposure comprises</w:t>
      </w:r>
    </w:p>
    <w:p w:rsidR="006341D7" w:rsidRPr="00CD452B" w:rsidRDefault="006341D7" w:rsidP="006341D7">
      <w:pPr>
        <w:pStyle w:val="B1"/>
      </w:pPr>
      <w:r w:rsidRPr="00B24732">
        <w:t>-</w:t>
      </w:r>
      <w:r w:rsidRPr="00B24732">
        <w:tab/>
      </w:r>
      <w:r w:rsidRPr="00CD452B">
        <w:t>Exposure of network events externally as well as internally towards core network NFs;</w:t>
      </w:r>
    </w:p>
    <w:p w:rsidR="006341D7" w:rsidRPr="00CD452B" w:rsidRDefault="006341D7" w:rsidP="006341D7">
      <w:pPr>
        <w:pStyle w:val="B1"/>
      </w:pPr>
      <w:r w:rsidRPr="00B24732">
        <w:t>-</w:t>
      </w:r>
      <w:r w:rsidRPr="00B24732">
        <w:tab/>
      </w:r>
      <w:r w:rsidRPr="00CD452B">
        <w:t>Exposure of provisioning capability towards external functions;</w:t>
      </w:r>
    </w:p>
    <w:p w:rsidR="006341D7" w:rsidRPr="00CD452B" w:rsidRDefault="006341D7" w:rsidP="006341D7">
      <w:pPr>
        <w:pStyle w:val="B1"/>
      </w:pPr>
      <w:r w:rsidRPr="00B24732">
        <w:t>-</w:t>
      </w:r>
      <w:r w:rsidRPr="00B24732">
        <w:tab/>
      </w:r>
      <w:r w:rsidRPr="00CD452B">
        <w:t>Exposure of policy and charging capabilities towards external functions;</w:t>
      </w:r>
    </w:p>
    <w:p w:rsidR="006341D7" w:rsidRPr="00A97397" w:rsidRDefault="006341D7" w:rsidP="006341D7">
      <w:pPr>
        <w:pStyle w:val="B1"/>
      </w:pPr>
      <w:r w:rsidRPr="00B24732">
        <w:t>-</w:t>
      </w:r>
      <w:r w:rsidRPr="00B24732">
        <w:tab/>
      </w:r>
      <w:r w:rsidRPr="00A97397">
        <w:t>Exposure of core network internal capabilities for analytics.</w:t>
      </w:r>
    </w:p>
    <w:p w:rsidR="006341D7" w:rsidRDefault="006341D7" w:rsidP="006341D7">
      <w:pPr>
        <w:pStyle w:val="B1"/>
      </w:pPr>
      <w:r>
        <w:t>-</w:t>
      </w:r>
      <w:r>
        <w:tab/>
        <w:t>Exposure of analytics to external party.</w:t>
      </w:r>
    </w:p>
    <w:p w:rsidR="006341D7" w:rsidRDefault="006341D7" w:rsidP="006341D7">
      <w:pPr>
        <w:pStyle w:val="B1"/>
      </w:pPr>
      <w:r>
        <w:t>-</w:t>
      </w:r>
      <w:r>
        <w:tab/>
        <w:t>Retrieval of data from external party by NWDAF.</w:t>
      </w:r>
    </w:p>
    <w:p w:rsidR="006341D7" w:rsidRDefault="006341D7" w:rsidP="006341D7">
      <w:r>
        <w:t>When subscribing to event reporting the NF consumer(s) provide:</w:t>
      </w:r>
    </w:p>
    <w:p w:rsidR="006341D7" w:rsidRPr="00191621" w:rsidRDefault="006341D7" w:rsidP="006341D7">
      <w:pPr>
        <w:pStyle w:val="B1"/>
      </w:pPr>
      <w:r>
        <w:t>-</w:t>
      </w:r>
      <w:r>
        <w:tab/>
        <w:t>One or multiple Event ID(s). An Event ID identifies the type of event being subscribed to (e.g. PDU Session release, UE mobility out of an Area of Interest, etc.).</w:t>
      </w:r>
    </w:p>
    <w:p w:rsidR="006341D7" w:rsidRDefault="006341D7" w:rsidP="006341D7">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6341D7" w:rsidRPr="00191621" w:rsidRDefault="006341D7" w:rsidP="006341D7">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rsidR="006341D7" w:rsidRPr="00191621" w:rsidRDefault="006341D7" w:rsidP="006341D7">
      <w:pPr>
        <w:pStyle w:val="B1"/>
      </w:pPr>
      <w:r>
        <w:t>-</w:t>
      </w:r>
      <w:r>
        <w:tab/>
        <w:t xml:space="preserve">The target of event reporting: this may indicate a specific UE or PDU Session, a group of UE(s) or any UE (i.e. all UEs), </w:t>
      </w:r>
      <w:proofErr w:type="gramStart"/>
      <w:r>
        <w:t>Within</w:t>
      </w:r>
      <w:proofErr w:type="gramEnd"/>
      <w:r>
        <w:t xml:space="preserve"> a subscription all Event ID (s) are associated with the same target of event reporting (possibly corresponding to multiple UE or multiple PDU Sessions).</w:t>
      </w:r>
    </w:p>
    <w:p w:rsidR="006341D7" w:rsidRPr="00191621" w:rsidRDefault="006341D7" w:rsidP="006341D7">
      <w:pPr>
        <w:pStyle w:val="B1"/>
      </w:pPr>
      <w:r>
        <w:t>-</w:t>
      </w:r>
      <w:r>
        <w:tab/>
        <w:t xml:space="preserve">A Notification Target Address (+ Notification Correlation ID) allowing the Event </w:t>
      </w:r>
      <w:proofErr w:type="spellStart"/>
      <w:r>
        <w:t>Receving</w:t>
      </w:r>
      <w:proofErr w:type="spellEnd"/>
      <w:r>
        <w:t xml:space="preserve">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rsidR="006341D7" w:rsidRPr="004F31E5" w:rsidRDefault="006341D7" w:rsidP="006341D7">
      <w:pPr>
        <w:pStyle w:val="B1"/>
      </w:pPr>
      <w:r w:rsidRPr="004F31E5">
        <w:t>-</w:t>
      </w:r>
      <w:r w:rsidRPr="004F31E5">
        <w:tab/>
        <w:t xml:space="preserve">An Expiry time represents the time </w:t>
      </w:r>
      <w:proofErr w:type="spellStart"/>
      <w:r w:rsidRPr="004F31E5">
        <w:t>upto</w:t>
      </w:r>
      <w:proofErr w:type="spellEnd"/>
      <w:r w:rsidRPr="004F31E5">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4F31E5">
        <w:t>subscripton</w:t>
      </w:r>
      <w:proofErr w:type="spellEnd"/>
      <w:r w:rsidRPr="004F31E5">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6341D7" w:rsidRDefault="006341D7" w:rsidP="006341D7">
      <w:r>
        <w:t>When the subscription is accepted by the Event provider NF, the consumer NF receives from the event provider NF an identifier (Subscription Correlation ID) allowing to further manage (modify, delete) this subscription.</w:t>
      </w:r>
    </w:p>
    <w:p w:rsidR="006341D7" w:rsidRDefault="006341D7" w:rsidP="006341D7">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6341D7" w:rsidRDefault="006341D7" w:rsidP="006341D7">
      <w:r>
        <w:lastRenderedPageBreak/>
        <w:t>The consumer NF may use an operation dedicated to subscription modification to add or remove Event ID(s) to this subscription or to modify Event Filter Information.</w:t>
      </w:r>
    </w:p>
    <w:p w:rsidR="006341D7" w:rsidRDefault="006341D7" w:rsidP="006341D7">
      <w:pPr>
        <w:rPr>
          <w:lang w:eastAsia="zh-CN"/>
        </w:rPr>
      </w:pPr>
      <w:r>
        <w:t xml:space="preserve">Events are subscribed by the consumer NF(s) by providing Event Filters. </w:t>
      </w:r>
      <w:r>
        <w:rPr>
          <w:lang w:eastAsia="zh-CN"/>
        </w:rPr>
        <w:t xml:space="preserve">The </w:t>
      </w:r>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 described in Table 4.15.1-1.</w:t>
      </w:r>
    </w:p>
    <w:p w:rsidR="006341D7" w:rsidRPr="00E42491" w:rsidRDefault="006341D7" w:rsidP="006341D7">
      <w:pPr>
        <w:pStyle w:val="TH"/>
      </w:pPr>
      <w:r w:rsidRPr="00E42491">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
      <w:tr w:rsidR="006341D7" w:rsidRPr="00E42491" w:rsidTr="00CD4ADB">
        <w:tc>
          <w:tcPr>
            <w:tcW w:w="3509" w:type="dxa"/>
          </w:tcPr>
          <w:p w:rsidR="006341D7" w:rsidRPr="00E42491" w:rsidRDefault="006341D7" w:rsidP="001C5FF6">
            <w:pPr>
              <w:pStyle w:val="TAH"/>
            </w:pPr>
            <w:bookmarkStart w:id="5" w:name="_GoBack" w:colFirst="0" w:colLast="3"/>
            <w:r>
              <w:t>Event Reporting Information P</w:t>
            </w:r>
            <w:r w:rsidRPr="00E42491">
              <w:t>arameter</w:t>
            </w:r>
          </w:p>
        </w:tc>
        <w:tc>
          <w:tcPr>
            <w:tcW w:w="4961" w:type="dxa"/>
          </w:tcPr>
          <w:p w:rsidR="006341D7" w:rsidRPr="00E42491" w:rsidRDefault="006341D7" w:rsidP="001C5FF6">
            <w:pPr>
              <w:pStyle w:val="TAH"/>
            </w:pPr>
            <w:r w:rsidRPr="00E42491">
              <w:t>Description</w:t>
            </w:r>
          </w:p>
        </w:tc>
        <w:tc>
          <w:tcPr>
            <w:tcW w:w="1385" w:type="dxa"/>
          </w:tcPr>
          <w:p w:rsidR="006341D7" w:rsidRPr="00E42491" w:rsidRDefault="006341D7" w:rsidP="001C5FF6">
            <w:pPr>
              <w:pStyle w:val="TAH"/>
            </w:pPr>
            <w:r w:rsidRPr="001A61EF">
              <w:t>Presence requirement</w:t>
            </w:r>
          </w:p>
        </w:tc>
      </w:tr>
      <w:tr w:rsidR="006341D7" w:rsidRPr="00E42491" w:rsidTr="00CD4ADB">
        <w:tc>
          <w:tcPr>
            <w:tcW w:w="3509" w:type="dxa"/>
          </w:tcPr>
          <w:p w:rsidR="006341D7" w:rsidRPr="00E42491" w:rsidRDefault="006341D7" w:rsidP="001C5FF6">
            <w:pPr>
              <w:pStyle w:val="TAL"/>
            </w:pPr>
            <w:del w:id="6" w:author="Antoine Mouquet (Orange Labs)" w:date="2019-06-11T18:10:00Z">
              <w:r w:rsidRPr="00785412" w:rsidDel="00EF091A">
                <w:delText>1)</w:delText>
              </w:r>
              <w:r w:rsidRPr="00785412" w:rsidDel="00EF091A">
                <w:tab/>
              </w:r>
            </w:del>
            <w:r w:rsidRPr="00785412">
              <w:t>Event reporting mode</w:t>
            </w:r>
          </w:p>
        </w:tc>
        <w:tc>
          <w:tcPr>
            <w:tcW w:w="4961" w:type="dxa"/>
          </w:tcPr>
          <w:p w:rsidR="006341D7" w:rsidRPr="00E42491" w:rsidRDefault="006341D7" w:rsidP="001C5FF6">
            <w:pPr>
              <w:pStyle w:val="TAL"/>
            </w:pPr>
            <w:r w:rsidRPr="00785412">
              <w:t xml:space="preserve">Mode of reporting </w:t>
            </w:r>
            <w:r>
              <w:t>-</w:t>
            </w:r>
            <w:r w:rsidRPr="00785412">
              <w:t xml:space="preserve"> </w:t>
            </w:r>
            <w:proofErr w:type="spellStart"/>
            <w:r w:rsidRPr="00785412">
              <w:t>e.g</w:t>
            </w:r>
            <w:proofErr w:type="spellEnd"/>
            <w:r w:rsidRPr="00785412">
              <w:t xml:space="preserve"> reporting up to a maximum number of reports, periodic reporting along with periodicity, reporting up to a maximum duration</w:t>
            </w:r>
          </w:p>
        </w:tc>
        <w:tc>
          <w:tcPr>
            <w:tcW w:w="1385" w:type="dxa"/>
          </w:tcPr>
          <w:p w:rsidR="006341D7" w:rsidRPr="00E42491" w:rsidRDefault="006341D7" w:rsidP="001C5FF6">
            <w:pPr>
              <w:pStyle w:val="TAL"/>
            </w:pPr>
            <w:r w:rsidRPr="001A61EF">
              <w:t>mandatory</w:t>
            </w:r>
          </w:p>
        </w:tc>
      </w:tr>
      <w:tr w:rsidR="006341D7" w:rsidRPr="00E42491" w:rsidTr="00CD4ADB">
        <w:tc>
          <w:tcPr>
            <w:tcW w:w="3509" w:type="dxa"/>
          </w:tcPr>
          <w:p w:rsidR="006341D7" w:rsidRPr="00E42491" w:rsidRDefault="006341D7" w:rsidP="001C5FF6">
            <w:pPr>
              <w:pStyle w:val="TAL"/>
            </w:pPr>
            <w:del w:id="7" w:author="Antoine Mouquet (Orange Labs)" w:date="2019-06-11T18:10:00Z">
              <w:r w:rsidRPr="00785412" w:rsidDel="00EF091A">
                <w:delText>2)</w:delText>
              </w:r>
              <w:r w:rsidRPr="00785412" w:rsidDel="00EF091A">
                <w:tab/>
              </w:r>
            </w:del>
            <w:r w:rsidRPr="00785412">
              <w:t>Maximum number of reports</w:t>
            </w:r>
          </w:p>
        </w:tc>
        <w:tc>
          <w:tcPr>
            <w:tcW w:w="4961" w:type="dxa"/>
          </w:tcPr>
          <w:p w:rsidR="006341D7" w:rsidRPr="00E42491" w:rsidRDefault="006341D7" w:rsidP="001C5FF6">
            <w:pPr>
              <w:pStyle w:val="TAL"/>
            </w:pPr>
            <w:r w:rsidRPr="00785412">
              <w:t>Maximum number of reports after which the event subscription ceases to exist</w:t>
            </w:r>
          </w:p>
        </w:tc>
        <w:tc>
          <w:tcPr>
            <w:tcW w:w="1385" w:type="dxa"/>
          </w:tcPr>
          <w:p w:rsidR="006341D7" w:rsidRPr="00E42491" w:rsidRDefault="006341D7" w:rsidP="001C5FF6">
            <w:pPr>
              <w:pStyle w:val="TAL"/>
            </w:pPr>
            <w:r w:rsidRPr="00785412">
              <w:t>(see NOTE</w:t>
            </w:r>
            <w:r>
              <w:rPr>
                <w:lang w:eastAsia="zh-CN"/>
              </w:rPr>
              <w:t> 2</w:t>
            </w:r>
            <w:r w:rsidRPr="00785412">
              <w:t>)</w:t>
            </w:r>
          </w:p>
        </w:tc>
      </w:tr>
      <w:tr w:rsidR="006341D7" w:rsidRPr="00E42491" w:rsidTr="00CD4ADB">
        <w:tc>
          <w:tcPr>
            <w:tcW w:w="3509" w:type="dxa"/>
          </w:tcPr>
          <w:p w:rsidR="006341D7" w:rsidRPr="00E42491" w:rsidRDefault="006341D7" w:rsidP="001C5FF6">
            <w:pPr>
              <w:pStyle w:val="TAL"/>
            </w:pPr>
            <w:del w:id="8" w:author="Antoine Mouquet (Orange Labs)" w:date="2019-06-11T18:10:00Z">
              <w:r w:rsidRPr="00785412" w:rsidDel="00EF091A">
                <w:delText>3)</w:delText>
              </w:r>
              <w:r w:rsidRPr="00785412" w:rsidDel="00EF091A">
                <w:tab/>
              </w:r>
            </w:del>
            <w:r w:rsidRPr="00785412">
              <w:t>Maximum duration of reporting</w:t>
            </w:r>
          </w:p>
        </w:tc>
        <w:tc>
          <w:tcPr>
            <w:tcW w:w="4961" w:type="dxa"/>
          </w:tcPr>
          <w:p w:rsidR="006341D7" w:rsidRPr="00E42491" w:rsidRDefault="006341D7" w:rsidP="001C5FF6">
            <w:pPr>
              <w:pStyle w:val="TAL"/>
            </w:pPr>
            <w:r w:rsidRPr="00785412">
              <w:t>Maximum duration after which the event subscription ceases to exist</w:t>
            </w:r>
          </w:p>
        </w:tc>
        <w:tc>
          <w:tcPr>
            <w:tcW w:w="1385" w:type="dxa"/>
          </w:tcPr>
          <w:p w:rsidR="006341D7" w:rsidRPr="00E42491" w:rsidRDefault="006341D7" w:rsidP="001C5FF6">
            <w:pPr>
              <w:pStyle w:val="TAL"/>
            </w:pPr>
            <w:r w:rsidRPr="00785412">
              <w:t>(see NOTE</w:t>
            </w:r>
            <w:r>
              <w:rPr>
                <w:lang w:eastAsia="zh-CN"/>
              </w:rPr>
              <w:t> 2</w:t>
            </w:r>
            <w:r w:rsidRPr="00785412">
              <w:t>)</w:t>
            </w:r>
          </w:p>
        </w:tc>
      </w:tr>
      <w:tr w:rsidR="006341D7" w:rsidRPr="00E42491" w:rsidTr="00CD4ADB">
        <w:tc>
          <w:tcPr>
            <w:tcW w:w="3509" w:type="dxa"/>
          </w:tcPr>
          <w:p w:rsidR="006341D7" w:rsidRPr="00785412" w:rsidRDefault="006341D7" w:rsidP="001C5FF6">
            <w:pPr>
              <w:pStyle w:val="TAL"/>
            </w:pPr>
            <w:del w:id="9" w:author="Antoine Mouquet (Orange Labs)" w:date="2019-06-11T18:10:00Z">
              <w:r w:rsidDel="00EF091A">
                <w:delText>4)</w:delText>
              </w:r>
              <w:r w:rsidDel="00EF091A">
                <w:tab/>
              </w:r>
            </w:del>
            <w:r>
              <w:t>Immediate reporting flag</w:t>
            </w:r>
          </w:p>
        </w:tc>
        <w:tc>
          <w:tcPr>
            <w:tcW w:w="4961" w:type="dxa"/>
          </w:tcPr>
          <w:p w:rsidR="006341D7" w:rsidRPr="00785412" w:rsidRDefault="006341D7" w:rsidP="001C5FF6">
            <w:pPr>
              <w:pStyle w:val="TAL"/>
            </w:pPr>
            <w:r>
              <w:t>The Event provider NF notifies the current status of the subscribed event, if available, immediately to the consumer NF.</w:t>
            </w:r>
          </w:p>
        </w:tc>
        <w:tc>
          <w:tcPr>
            <w:tcW w:w="1385" w:type="dxa"/>
          </w:tcPr>
          <w:p w:rsidR="006341D7" w:rsidRPr="00785412" w:rsidRDefault="006341D7" w:rsidP="001C5FF6">
            <w:pPr>
              <w:pStyle w:val="TAL"/>
            </w:pPr>
          </w:p>
        </w:tc>
      </w:tr>
      <w:tr w:rsidR="006341D7" w:rsidRPr="00E42491" w:rsidDel="00EF091A" w:rsidTr="00CD4ADB">
        <w:trPr>
          <w:del w:id="10" w:author="Antoine Mouquet (Orange Labs)" w:date="2019-06-11T18:10:00Z"/>
        </w:trPr>
        <w:tc>
          <w:tcPr>
            <w:tcW w:w="3509" w:type="dxa"/>
          </w:tcPr>
          <w:p w:rsidR="006341D7" w:rsidRPr="00E42491" w:rsidDel="00EF091A" w:rsidRDefault="006341D7" w:rsidP="001C5FF6">
            <w:pPr>
              <w:pStyle w:val="TAL"/>
              <w:rPr>
                <w:del w:id="11" w:author="Antoine Mouquet (Orange Labs)" w:date="2019-06-11T18:10:00Z"/>
              </w:rPr>
            </w:pPr>
            <w:del w:id="12" w:author="Antoine Mouquet (Orange Labs)" w:date="2019-06-11T18:10:00Z">
              <w:r w:rsidDel="00EF091A">
                <w:delText>5)</w:delText>
              </w:r>
              <w:r w:rsidDel="00EF091A">
                <w:tab/>
                <w:delText>Level of aggregation</w:delText>
              </w:r>
            </w:del>
          </w:p>
        </w:tc>
        <w:tc>
          <w:tcPr>
            <w:tcW w:w="4961" w:type="dxa"/>
          </w:tcPr>
          <w:p w:rsidR="006341D7" w:rsidRPr="00E42491" w:rsidDel="00EF091A" w:rsidRDefault="006341D7" w:rsidP="001C5FF6">
            <w:pPr>
              <w:pStyle w:val="TAL"/>
              <w:rPr>
                <w:del w:id="13" w:author="Antoine Mouquet (Orange Labs)" w:date="2019-06-11T18:10:00Z"/>
              </w:rPr>
            </w:pPr>
            <w:del w:id="14" w:author="Antoine Mouquet (Orange Labs)" w:date="2019-06-11T18:10:00Z">
              <w:r w:rsidDel="00EF091A">
                <w:delText>Indicates whether the result should contain one metric aggregated for all entities, or a list of metrics per UE, per TA, per cell, or per DNN.</w:delText>
              </w:r>
            </w:del>
          </w:p>
        </w:tc>
        <w:tc>
          <w:tcPr>
            <w:tcW w:w="1385" w:type="dxa"/>
          </w:tcPr>
          <w:p w:rsidR="006341D7" w:rsidDel="00EF091A" w:rsidRDefault="006341D7" w:rsidP="001C5FF6">
            <w:pPr>
              <w:pStyle w:val="TAL"/>
              <w:rPr>
                <w:del w:id="15" w:author="Antoine Mouquet (Orange Labs)" w:date="2019-06-11T18:10:00Z"/>
              </w:rPr>
            </w:pPr>
            <w:del w:id="16" w:author="Antoine Mouquet (Orange Labs)" w:date="2019-06-11T18:10:00Z">
              <w:r w:rsidDel="00EF091A">
                <w:delText>optional</w:delText>
              </w:r>
            </w:del>
          </w:p>
          <w:p w:rsidR="006341D7" w:rsidRPr="00E42491" w:rsidDel="00EF091A" w:rsidRDefault="006341D7" w:rsidP="001C5FF6">
            <w:pPr>
              <w:pStyle w:val="TAL"/>
              <w:rPr>
                <w:del w:id="17" w:author="Antoine Mouquet (Orange Labs)" w:date="2019-06-11T18:10:00Z"/>
              </w:rPr>
            </w:pPr>
            <w:del w:id="18" w:author="Antoine Mouquet (Orange Labs)" w:date="2019-06-11T18:10:00Z">
              <w:r w:rsidDel="00EF091A">
                <w:delText>(see NOTE 3)</w:delText>
              </w:r>
            </w:del>
          </w:p>
        </w:tc>
      </w:tr>
      <w:tr w:rsidR="006341D7" w:rsidRPr="00E42491" w:rsidTr="00CD4ADB">
        <w:tc>
          <w:tcPr>
            <w:tcW w:w="3509" w:type="dxa"/>
          </w:tcPr>
          <w:p w:rsidR="006341D7" w:rsidRPr="00785412" w:rsidRDefault="006341D7" w:rsidP="001C5FF6">
            <w:pPr>
              <w:pStyle w:val="TAL"/>
            </w:pPr>
            <w:del w:id="19" w:author="Antoine Mouquet (Orange Labs)" w:date="2019-06-11T18:10:00Z">
              <w:r w:rsidDel="00EF091A">
                <w:delText>6)</w:delText>
              </w:r>
              <w:r w:rsidDel="00EF091A">
                <w:tab/>
              </w:r>
            </w:del>
            <w:r>
              <w:t>Sampling ratio</w:t>
            </w:r>
          </w:p>
        </w:tc>
        <w:tc>
          <w:tcPr>
            <w:tcW w:w="4961" w:type="dxa"/>
          </w:tcPr>
          <w:p w:rsidR="006341D7" w:rsidRPr="00785412" w:rsidRDefault="006341D7" w:rsidP="001C5FF6">
            <w:pPr>
              <w:pStyle w:val="TAL"/>
            </w:pPr>
            <w:r>
              <w:t>Percentage of sampling (1%</w:t>
            </w:r>
            <w:proofErr w:type="gramStart"/>
            <w:r>
              <w:t>..</w:t>
            </w:r>
            <w:proofErr w:type="gramEnd"/>
            <w:r>
              <w:t>100%) among impacted UEs.</w:t>
            </w:r>
          </w:p>
        </w:tc>
        <w:tc>
          <w:tcPr>
            <w:tcW w:w="1385" w:type="dxa"/>
          </w:tcPr>
          <w:p w:rsidR="006341D7" w:rsidRDefault="006341D7" w:rsidP="001C5FF6">
            <w:pPr>
              <w:pStyle w:val="TAL"/>
            </w:pPr>
            <w:r>
              <w:t>optional</w:t>
            </w:r>
          </w:p>
          <w:p w:rsidR="006341D7" w:rsidRPr="00785412" w:rsidRDefault="006341D7" w:rsidP="001C5FF6">
            <w:pPr>
              <w:pStyle w:val="TAL"/>
            </w:pPr>
            <w:r>
              <w:t>(see NOTE 3)</w:t>
            </w:r>
          </w:p>
        </w:tc>
      </w:tr>
      <w:tr w:rsidR="006341D7" w:rsidRPr="00E42491" w:rsidTr="00CD4ADB">
        <w:tc>
          <w:tcPr>
            <w:tcW w:w="3509" w:type="dxa"/>
          </w:tcPr>
          <w:p w:rsidR="006341D7" w:rsidRPr="00785412" w:rsidRDefault="006341D7" w:rsidP="001C5FF6">
            <w:pPr>
              <w:pStyle w:val="TAL"/>
            </w:pPr>
            <w:del w:id="20" w:author="Antoine Mouquet (Orange Labs)" w:date="2019-06-11T18:10:00Z">
              <w:r w:rsidDel="00EF091A">
                <w:delText>7)</w:delText>
              </w:r>
              <w:r w:rsidDel="00EF091A">
                <w:tab/>
              </w:r>
            </w:del>
            <w:r>
              <w:t>Group Reporting Guard Time</w:t>
            </w:r>
          </w:p>
        </w:tc>
        <w:tc>
          <w:tcPr>
            <w:tcW w:w="4961" w:type="dxa"/>
          </w:tcPr>
          <w:p w:rsidR="006341D7" w:rsidRPr="00785412" w:rsidRDefault="006341D7" w:rsidP="001C5FF6">
            <w:pPr>
              <w:pStyle w:val="TAL"/>
            </w:pPr>
            <w:r>
              <w:t>Parameter for group-based monitoring configuration to indicate the time for which the Monitoring Event Reporting(s) detected by the UEs in a group can be aggregated before sending them to the consumer NF.</w:t>
            </w:r>
          </w:p>
        </w:tc>
        <w:tc>
          <w:tcPr>
            <w:tcW w:w="1385" w:type="dxa"/>
          </w:tcPr>
          <w:p w:rsidR="006341D7" w:rsidRPr="00785412" w:rsidRDefault="006341D7" w:rsidP="001C5FF6">
            <w:pPr>
              <w:pStyle w:val="TAL"/>
            </w:pPr>
            <w:r>
              <w:t>optional</w:t>
            </w:r>
          </w:p>
        </w:tc>
      </w:tr>
      <w:tr w:rsidR="006341D7" w:rsidRPr="00E42491" w:rsidTr="00CD4ADB">
        <w:tc>
          <w:tcPr>
            <w:tcW w:w="9855" w:type="dxa"/>
            <w:gridSpan w:val="3"/>
          </w:tcPr>
          <w:p w:rsidR="006341D7" w:rsidRDefault="006341D7" w:rsidP="001C5FF6">
            <w:pPr>
              <w:pStyle w:val="TAN"/>
            </w:pPr>
            <w:r w:rsidRPr="001A61EF">
              <w:t>NOTE</w:t>
            </w:r>
            <w:r>
              <w:t> </w:t>
            </w:r>
            <w:r w:rsidRPr="001A61EF">
              <w:t>2:</w:t>
            </w:r>
            <w:r>
              <w:tab/>
              <w:t>T</w:t>
            </w:r>
            <w:r w:rsidRPr="001A61EF">
              <w:t>he requester shall include 2) Maximum number of reports or 3) Maximum duration of reporting, or both, depending on 1) Event reporting mode.</w:t>
            </w:r>
          </w:p>
          <w:p w:rsidR="006341D7" w:rsidRPr="00785412" w:rsidRDefault="006341D7" w:rsidP="001C5FF6">
            <w:pPr>
              <w:pStyle w:val="TAN"/>
            </w:pPr>
            <w:r>
              <w:t>NOTE 3:</w:t>
            </w:r>
            <w:r>
              <w:tab/>
              <w:t>Parameter only applicable to certain event IDs reporting metrics (e.g. Number of UEs present in a geographical area) used and used e.g. by the NWDAF for data collection.</w:t>
            </w:r>
          </w:p>
        </w:tc>
      </w:tr>
      <w:bookmarkEnd w:id="5"/>
    </w:tbl>
    <w:p w:rsidR="006341D7" w:rsidRDefault="006341D7" w:rsidP="006341D7">
      <w:pPr>
        <w:pStyle w:val="FP"/>
      </w:pPr>
    </w:p>
    <w:p w:rsidR="006341D7" w:rsidRDefault="006341D7" w:rsidP="006341D7">
      <w:pPr>
        <w:pStyle w:val="NO"/>
      </w:pPr>
      <w:r>
        <w:t>NOTE 4:</w:t>
      </w:r>
      <w:r>
        <w:tab/>
        <w:t>Explicit unsubscribe by the NF consumer is still possible.</w:t>
      </w:r>
    </w:p>
    <w:p w:rsidR="006341D7" w:rsidRDefault="006341D7" w:rsidP="006341D7">
      <w:r>
        <w:t>Maximum number of reports is applicable to the subscription to one UE or a group of UE(s). When the subscription is applied to a group of UE(s), the parameter is applied to each individual member UE. The count of number of reports is per Event Type granularity.</w:t>
      </w:r>
    </w:p>
    <w:p w:rsidR="006341D7" w:rsidRDefault="006341D7" w:rsidP="006341D7">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6341D7" w:rsidRDefault="006341D7" w:rsidP="006341D7">
      <w:r>
        <w:t xml:space="preserve">If for a given subscription both Maximum Number of reports and </w:t>
      </w:r>
      <w:r w:rsidRPr="001A61EF">
        <w:t>Maximum</w:t>
      </w:r>
      <w:r>
        <w:t xml:space="preserve"> duration of reporting are included then the subscription is considered to expire as soon as one of the conditions is met.</w:t>
      </w:r>
    </w:p>
    <w:p w:rsidR="006341D7" w:rsidDel="00887508" w:rsidRDefault="006341D7" w:rsidP="006341D7">
      <w:pPr>
        <w:rPr>
          <w:del w:id="21" w:author="Antoine Mouquet (Orange Labs)" w:date="2019-06-11T18:11:00Z"/>
        </w:rPr>
      </w:pPr>
      <w:del w:id="22" w:author="Antoine Mouquet (Orange Labs)" w:date="2019-06-11T18:11:00Z">
        <w:r w:rsidDel="00887508">
          <w:delText>Level of aggregation may be used to determine whether the provided metrics are aggregated for all entities or individually listed i.e. provided for each individual value. At most one instance of this parameter is permitted, i.e. individual listing of metrics is limited to one one dimension. When this parameter is not provided, the aggregation is performed according to the default behaviour for the eventID.</w:delText>
        </w:r>
      </w:del>
    </w:p>
    <w:p w:rsidR="006341D7" w:rsidRDefault="006341D7" w:rsidP="006341D7">
      <w: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6341D7" w:rsidRDefault="006341D7" w:rsidP="006341D7">
      <w:r>
        <w:t>Group Reporting Guard Time is an optional parameter for group-based monitoring configuration to indicate the time for which the Monitoring Event Reporting(s) detected by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rsidR="006341D7" w:rsidRDefault="006341D7" w:rsidP="006341D7">
      <w:r w:rsidRPr="001A61EF">
        <w:lastRenderedPageBreak/>
        <w:t>Table 4.15.1-1 indicates the presence requirements for</w:t>
      </w:r>
      <w:r>
        <w:t xml:space="preserve"> the Event Reporting Information</w:t>
      </w:r>
      <w:r w:rsidRPr="001A61EF">
        <w:t>.</w:t>
      </w:r>
    </w:p>
    <w:p w:rsidR="006341D7" w:rsidRDefault="006341D7" w:rsidP="006341D7">
      <w:r>
        <w:t>Corresponding notifications contain at least the Notification Correlation ID together with the Event ID and the individual target (e.g. UE or PDU Session ID) associated with the notification.</w:t>
      </w:r>
    </w:p>
    <w:p w:rsidR="006341D7" w:rsidRDefault="006341D7" w:rsidP="006341D7">
      <w:r>
        <w:t xml:space="preserve">If the NF service consumer decides to terminate the event subscription, it unsubscribes the event subscription by sending </w:t>
      </w:r>
      <w:proofErr w:type="spellStart"/>
      <w:r>
        <w:t>unsubscription</w:t>
      </w:r>
      <w:proofErr w:type="spellEnd"/>
      <w:r>
        <w:t xml:space="preserve"> request to the event provider NF. After receiving </w:t>
      </w:r>
      <w:proofErr w:type="spellStart"/>
      <w:r>
        <w:t>unsubscription</w:t>
      </w:r>
      <w:proofErr w:type="spellEnd"/>
      <w:r>
        <w:t xml:space="preserve"> request from the NF service consumer, the event provider NF terminates the event subscription.</w:t>
      </w:r>
    </w:p>
    <w:p w:rsidR="006341D7" w:rsidRPr="00B24732" w:rsidRDefault="006341D7" w:rsidP="006341D7">
      <w:pPr>
        <w:rPr>
          <w:rFonts w:eastAsia="SimSun"/>
          <w:lang w:val="x-none"/>
        </w:rPr>
      </w:pPr>
      <w:r w:rsidRPr="000808F1">
        <w:t>The following clauses describe the external exposure of network capabilities and core network internal event and capability exposure.</w:t>
      </w:r>
    </w:p>
    <w:p w:rsidR="006341D7" w:rsidRDefault="006341D7" w:rsidP="006341D7">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rsidR="006341D7" w:rsidRDefault="006341D7" w:rsidP="006341D7">
      <w:pPr>
        <w:rPr>
          <w:rFonts w:eastAsia="SimSun"/>
        </w:rPr>
      </w:pPr>
      <w:r>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rsidR="006341D7" w:rsidRDefault="006341D7" w:rsidP="006341D7">
      <w:pPr>
        <w:pStyle w:val="NO"/>
        <w:rPr>
          <w:rFonts w:eastAsia="SimSun"/>
        </w:rPr>
      </w:pPr>
      <w:r>
        <w:rPr>
          <w:rFonts w:eastAsia="SimSun"/>
        </w:rPr>
        <w:t>NOTE 5:</w:t>
      </w:r>
      <w:r>
        <w:rPr>
          <w:rFonts w:eastAsia="SimSun"/>
        </w:rPr>
        <w:tab/>
        <w:t>The MTC Provider Information can be used by Service Providers for, e.g. to distinguish their different customers.</w:t>
      </w:r>
    </w:p>
    <w:p w:rsidR="00C76D42" w:rsidRPr="00AF53BC" w:rsidRDefault="00C76D42" w:rsidP="00C76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rsidR="00C76D42" w:rsidRDefault="00C76D42">
      <w:pPr>
        <w:rPr>
          <w:noProof/>
        </w:rPr>
      </w:pPr>
    </w:p>
    <w:sectPr w:rsidR="00C76D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824" w:rsidRDefault="006A6824">
      <w:r>
        <w:separator/>
      </w:r>
    </w:p>
  </w:endnote>
  <w:endnote w:type="continuationSeparator" w:id="0">
    <w:p w:rsidR="006A6824" w:rsidRDefault="006A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824" w:rsidRDefault="006A6824">
      <w:r>
        <w:separator/>
      </w:r>
    </w:p>
  </w:footnote>
  <w:footnote w:type="continuationSeparator" w:id="0">
    <w:p w:rsidR="006A6824" w:rsidRDefault="006A6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77FB"/>
    <w:rsid w:val="004B75B7"/>
    <w:rsid w:val="0051580D"/>
    <w:rsid w:val="00520634"/>
    <w:rsid w:val="00547111"/>
    <w:rsid w:val="00592D74"/>
    <w:rsid w:val="005D2945"/>
    <w:rsid w:val="005E2C44"/>
    <w:rsid w:val="00621188"/>
    <w:rsid w:val="006257ED"/>
    <w:rsid w:val="00632492"/>
    <w:rsid w:val="006341D7"/>
    <w:rsid w:val="00695808"/>
    <w:rsid w:val="006A6824"/>
    <w:rsid w:val="006B46FB"/>
    <w:rsid w:val="006E21FB"/>
    <w:rsid w:val="007803BA"/>
    <w:rsid w:val="00792342"/>
    <w:rsid w:val="007977A8"/>
    <w:rsid w:val="007B512A"/>
    <w:rsid w:val="007C2097"/>
    <w:rsid w:val="007D6A07"/>
    <w:rsid w:val="007F7259"/>
    <w:rsid w:val="008040A8"/>
    <w:rsid w:val="00816C66"/>
    <w:rsid w:val="008279FA"/>
    <w:rsid w:val="008626E7"/>
    <w:rsid w:val="00870EE7"/>
    <w:rsid w:val="008863B9"/>
    <w:rsid w:val="00887508"/>
    <w:rsid w:val="008A45A6"/>
    <w:rsid w:val="008E0C37"/>
    <w:rsid w:val="008F686C"/>
    <w:rsid w:val="009148DE"/>
    <w:rsid w:val="00941E30"/>
    <w:rsid w:val="009777D9"/>
    <w:rsid w:val="00991B88"/>
    <w:rsid w:val="009A5753"/>
    <w:rsid w:val="009A579D"/>
    <w:rsid w:val="009E3297"/>
    <w:rsid w:val="009F734F"/>
    <w:rsid w:val="00A246B6"/>
    <w:rsid w:val="00A47E70"/>
    <w:rsid w:val="00A50CF0"/>
    <w:rsid w:val="00A670FA"/>
    <w:rsid w:val="00A7671C"/>
    <w:rsid w:val="00AA2CBC"/>
    <w:rsid w:val="00AC5820"/>
    <w:rsid w:val="00AD1CD8"/>
    <w:rsid w:val="00B047D1"/>
    <w:rsid w:val="00B258BB"/>
    <w:rsid w:val="00B67B97"/>
    <w:rsid w:val="00B968C8"/>
    <w:rsid w:val="00BA3EC5"/>
    <w:rsid w:val="00BA51D9"/>
    <w:rsid w:val="00BB5DFC"/>
    <w:rsid w:val="00BD279D"/>
    <w:rsid w:val="00BD6BB8"/>
    <w:rsid w:val="00C66BA2"/>
    <w:rsid w:val="00C76D42"/>
    <w:rsid w:val="00C95985"/>
    <w:rsid w:val="00CC5026"/>
    <w:rsid w:val="00CC68D0"/>
    <w:rsid w:val="00CD4ADB"/>
    <w:rsid w:val="00CE055B"/>
    <w:rsid w:val="00D03F9A"/>
    <w:rsid w:val="00D06D51"/>
    <w:rsid w:val="00D24991"/>
    <w:rsid w:val="00D432E0"/>
    <w:rsid w:val="00D45360"/>
    <w:rsid w:val="00D50255"/>
    <w:rsid w:val="00D66520"/>
    <w:rsid w:val="00DE34CF"/>
    <w:rsid w:val="00E13F3D"/>
    <w:rsid w:val="00E34898"/>
    <w:rsid w:val="00EB09B7"/>
    <w:rsid w:val="00EE7D7C"/>
    <w:rsid w:val="00EF091A"/>
    <w:rsid w:val="00F17EEB"/>
    <w:rsid w:val="00F25D98"/>
    <w:rsid w:val="00F300FB"/>
    <w:rsid w:val="00FB6386"/>
    <w:rsid w:val="00FE7BA2"/>
    <w:rsid w:val="00FF70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6341D7"/>
    <w:rPr>
      <w:rFonts w:ascii="Times New Roman" w:hAnsi="Times New Roman"/>
      <w:lang w:val="en-GB" w:eastAsia="en-US"/>
    </w:rPr>
  </w:style>
  <w:style w:type="character" w:customStyle="1" w:styleId="TALChar">
    <w:name w:val="TAL Char"/>
    <w:link w:val="TAL"/>
    <w:rsid w:val="006341D7"/>
    <w:rPr>
      <w:rFonts w:ascii="Arial" w:hAnsi="Arial"/>
      <w:sz w:val="18"/>
      <w:lang w:val="en-GB" w:eastAsia="en-US"/>
    </w:rPr>
  </w:style>
  <w:style w:type="character" w:customStyle="1" w:styleId="TAHCar">
    <w:name w:val="TAH Car"/>
    <w:link w:val="TAH"/>
    <w:rsid w:val="006341D7"/>
    <w:rPr>
      <w:rFonts w:ascii="Arial" w:hAnsi="Arial"/>
      <w:b/>
      <w:sz w:val="18"/>
      <w:lang w:val="en-GB" w:eastAsia="en-US"/>
    </w:rPr>
  </w:style>
  <w:style w:type="character" w:customStyle="1" w:styleId="B1Char">
    <w:name w:val="B1 Char"/>
    <w:link w:val="B1"/>
    <w:locked/>
    <w:rsid w:val="006341D7"/>
    <w:rPr>
      <w:rFonts w:ascii="Times New Roman" w:hAnsi="Times New Roman"/>
      <w:lang w:val="en-GB" w:eastAsia="en-US"/>
    </w:rPr>
  </w:style>
  <w:style w:type="character" w:customStyle="1" w:styleId="THChar">
    <w:name w:val="TH Char"/>
    <w:link w:val="TH"/>
    <w:rsid w:val="006341D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6341D7"/>
    <w:rPr>
      <w:rFonts w:ascii="Times New Roman" w:hAnsi="Times New Roman"/>
      <w:lang w:val="en-GB" w:eastAsia="en-US"/>
    </w:rPr>
  </w:style>
  <w:style w:type="character" w:customStyle="1" w:styleId="TALChar">
    <w:name w:val="TAL Char"/>
    <w:link w:val="TAL"/>
    <w:rsid w:val="006341D7"/>
    <w:rPr>
      <w:rFonts w:ascii="Arial" w:hAnsi="Arial"/>
      <w:sz w:val="18"/>
      <w:lang w:val="en-GB" w:eastAsia="en-US"/>
    </w:rPr>
  </w:style>
  <w:style w:type="character" w:customStyle="1" w:styleId="TAHCar">
    <w:name w:val="TAH Car"/>
    <w:link w:val="TAH"/>
    <w:rsid w:val="006341D7"/>
    <w:rPr>
      <w:rFonts w:ascii="Arial" w:hAnsi="Arial"/>
      <w:b/>
      <w:sz w:val="18"/>
      <w:lang w:val="en-GB" w:eastAsia="en-US"/>
    </w:rPr>
  </w:style>
  <w:style w:type="character" w:customStyle="1" w:styleId="B1Char">
    <w:name w:val="B1 Char"/>
    <w:link w:val="B1"/>
    <w:locked/>
    <w:rsid w:val="006341D7"/>
    <w:rPr>
      <w:rFonts w:ascii="Times New Roman" w:hAnsi="Times New Roman"/>
      <w:lang w:val="en-GB" w:eastAsia="en-US"/>
    </w:rPr>
  </w:style>
  <w:style w:type="character" w:customStyle="1" w:styleId="THChar">
    <w:name w:val="TH Char"/>
    <w:link w:val="TH"/>
    <w:rsid w:val="006341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8B993-BBFD-4E02-BCE9-A07A7564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1950</Words>
  <Characters>10729</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3</cp:revision>
  <cp:lastPrinted>1900-12-31T22:00:00Z</cp:lastPrinted>
  <dcterms:created xsi:type="dcterms:W3CDTF">2019-06-17T07:49:00Z</dcterms:created>
  <dcterms:modified xsi:type="dcterms:W3CDTF">2019-06-17T07:52:00Z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_2015_ms_pID_725343">
    <vt:lpwstr>(3)8q0qAd//dQG+t6MMgVqhbTHUY2oy/Bz4UwsmMQkn5ozHo0nN8v+vflSIxAcMOgsgBcBUQ11M
RSoX/aMhSCzgAGWISIrBRoO3x2+1fPuE1yxABP/Undueo+h9CczwCL5rIMjaAsiBy4imvbIt
hw7INNm4vrlV2InfiAuKi0nNniM+h7XDx2hQrZEmpjlQGJc/U/djXLTLdWd+xybc4UheKAEa
g8azBrn54fbPd67g2k</vt:lpwstr>
  </property>
  <property fmtid="{D5CDD505-2E9C-101B-9397-08002B2CF9AE}" pid="22" name="_2015_ms_pID_7253431">
    <vt:lpwstr>MrgayNtmM9gVxdOH5l9TmyPkzr1DD3srY9kTsDfPn9FhOWE6in0oBj
vJgYcsSDp5XtltVueXjokQCeyCrzfNB2bHcdOs1aThII1T/e+s+GrAEppItYwWE5G+EaSDcc
QwXySIBTrKHmgtKkCNM3ifAnYmxLQFgK1l52jAkBU3ts4xNFckuITWxLMMeJUZ04prkZPLet
JN6F+HXit0sYEED/WhXzIW67PN3kcmiPewpb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1560477385</vt:lpwstr>
  </property>
  <property fmtid="{D5CDD505-2E9C-101B-9397-08002B2CF9AE}" pid="27" name="_2015_ms_pID_7253432">
    <vt:lpwstr>/Q==</vt:lpwstr>
  </property>
</Properties>
</file>